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51844181"/>
      <w:bookmarkStart w:id="1" w:name="_Toc466348853"/>
      <w:bookmarkStart w:id="2" w:name="_Toc436619014"/>
      <w:bookmarkStart w:id="3" w:name="_Toc436619251"/>
      <w:bookmarkStart w:id="4" w:name="_Toc466346620"/>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cs="Arial"/>
          <w:b/>
          <w:sz w:val="24"/>
          <w:szCs w:val="24"/>
          <w:lang w:val="en-US" w:eastAsia="zh-CN"/>
        </w:rPr>
        <w:t>308224</w:t>
      </w:r>
      <w:bookmarkStart w:id="12" w:name="_GoBack"/>
      <w:bookmarkEnd w:id="12"/>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r>
        <w:rPr>
          <w:rFonts w:hint="eastAsia" w:cs="Arial"/>
          <w:b/>
          <w:sz w:val="24"/>
          <w:szCs w:val="24"/>
        </w:rPr>
        <w:t>Incheon, Korea, 22th May 2023 - 26th May 2023</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
      <w:r>
        <w:rPr>
          <w:rFonts w:hint="eastAsia" w:ascii="Arial" w:hAnsi="Arial" w:eastAsia="宋体" w:cs="Arial"/>
          <w:b/>
          <w:bCs w:val="0"/>
          <w:color w:val="000000"/>
          <w:sz w:val="22"/>
          <w:lang w:val="en-US" w:eastAsia="zh-CN"/>
        </w:rPr>
        <w:t xml:space="preserve">Discussions on RedCap HPUE </w:t>
      </w:r>
      <w:bookmarkEnd w:id="5"/>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11.1</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r>
        <w:rPr>
          <w:rFonts w:hint="eastAsia" w:eastAsia="宋体"/>
          <w:lang w:val="en-US" w:eastAsia="zh-CN"/>
        </w:rPr>
        <w:t>In RAN4-106bis-e meeting, a WF [1] on RedCap HPUE was agreed as below:</w:t>
      </w:r>
    </w:p>
    <w:p>
      <w:pPr>
        <w:snapToGrid w:val="0"/>
        <w:spacing w:after="120"/>
        <w:rPr>
          <w:b/>
          <w:i/>
          <w:iCs/>
          <w:sz w:val="21"/>
          <w:szCs w:val="21"/>
          <w:u w:val="single"/>
          <w:lang w:val="en-US" w:eastAsia="zh-CN"/>
        </w:rPr>
      </w:pPr>
      <w:r>
        <w:rPr>
          <w:b/>
          <w:i/>
          <w:iCs/>
          <w:sz w:val="21"/>
          <w:szCs w:val="21"/>
          <w:u w:val="single"/>
          <w:lang w:val="en-US" w:eastAsia="zh-CN"/>
        </w:rPr>
        <w:t xml:space="preserve">Issue </w:t>
      </w:r>
      <w:r>
        <w:rPr>
          <w:rFonts w:hint="eastAsia" w:eastAsiaTheme="minorEastAsia"/>
          <w:b/>
          <w:i/>
          <w:iCs/>
          <w:sz w:val="21"/>
          <w:szCs w:val="21"/>
          <w:u w:val="single"/>
          <w:lang w:val="en-US" w:eastAsia="zh-CN"/>
        </w:rPr>
        <w:t>1</w:t>
      </w:r>
      <w:r>
        <w:rPr>
          <w:b/>
          <w:i/>
          <w:iCs/>
          <w:sz w:val="21"/>
          <w:szCs w:val="21"/>
          <w:u w:val="single"/>
          <w:lang w:val="en-US" w:eastAsia="zh-CN"/>
        </w:rPr>
        <w:t>: Form factor for PC2 RedCap HPUE</w:t>
      </w:r>
    </w:p>
    <w:p>
      <w:pPr>
        <w:snapToGrid w:val="0"/>
        <w:spacing w:after="120"/>
        <w:rPr>
          <w:rFonts w:eastAsiaTheme="minorEastAsia"/>
          <w:i/>
          <w:iCs/>
          <w:sz w:val="21"/>
          <w:szCs w:val="21"/>
          <w:lang w:val="en-US" w:eastAsia="zh-CN"/>
        </w:rPr>
      </w:pPr>
      <w:r>
        <w:rPr>
          <w:rFonts w:hint="eastAsia" w:eastAsiaTheme="minorEastAsia"/>
          <w:i/>
          <w:iCs/>
          <w:sz w:val="21"/>
          <w:szCs w:val="21"/>
          <w:lang w:val="en-US" w:eastAsia="zh-CN"/>
        </w:rPr>
        <w:t>Candidate options for further discussion:</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eastAsia="宋体"/>
          <w:i/>
          <w:iCs/>
          <w:sz w:val="21"/>
          <w:szCs w:val="21"/>
          <w:lang w:eastAsia="zh-CN"/>
        </w:rPr>
        <w:t>Option 1: Not restrict the applicable form factor for PC2 RedCap HPUE</w:t>
      </w:r>
      <w:r>
        <w:rPr>
          <w:rFonts w:hint="eastAsia" w:eastAsia="宋体"/>
          <w:i/>
          <w:iCs/>
          <w:sz w:val="21"/>
          <w:szCs w:val="21"/>
          <w:lang w:eastAsia="zh-CN"/>
        </w:rPr>
        <w:t xml:space="preserve"> </w:t>
      </w:r>
      <w:r>
        <w:rPr>
          <w:rFonts w:eastAsia="宋体"/>
          <w:i/>
          <w:iCs/>
          <w:sz w:val="21"/>
          <w:szCs w:val="21"/>
          <w:lang w:eastAsia="zh-CN"/>
        </w:rPr>
        <w:t>in the specification</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eastAsia="宋体"/>
          <w:i/>
          <w:iCs/>
          <w:sz w:val="21"/>
          <w:szCs w:val="21"/>
          <w:lang w:eastAsia="zh-CN"/>
        </w:rPr>
        <w:t>Option 2: Clearly add the restriction on the applicable form factor for PC2 Redcap in the specification</w:t>
      </w:r>
    </w:p>
    <w:p>
      <w:pPr>
        <w:spacing w:after="120"/>
        <w:rPr>
          <w:rFonts w:eastAsiaTheme="minorEastAsia"/>
          <w:i/>
          <w:iCs/>
          <w:sz w:val="21"/>
          <w:szCs w:val="21"/>
          <w:lang w:val="en-US" w:eastAsia="zh-CN"/>
        </w:rPr>
      </w:pPr>
    </w:p>
    <w:p>
      <w:pPr>
        <w:snapToGrid w:val="0"/>
        <w:spacing w:after="120"/>
        <w:rPr>
          <w:b/>
          <w:i/>
          <w:iCs/>
          <w:sz w:val="21"/>
          <w:szCs w:val="21"/>
          <w:u w:val="single"/>
          <w:lang w:val="en-US" w:eastAsia="zh-CN"/>
        </w:rPr>
      </w:pPr>
      <w:r>
        <w:rPr>
          <w:b/>
          <w:i/>
          <w:iCs/>
          <w:sz w:val="21"/>
          <w:szCs w:val="21"/>
          <w:u w:val="single"/>
          <w:lang w:val="en-US" w:eastAsia="zh-CN"/>
        </w:rPr>
        <w:t xml:space="preserve">Issue </w:t>
      </w:r>
      <w:r>
        <w:rPr>
          <w:rFonts w:hint="eastAsia" w:eastAsiaTheme="minorEastAsia"/>
          <w:b/>
          <w:i/>
          <w:iCs/>
          <w:sz w:val="21"/>
          <w:szCs w:val="21"/>
          <w:u w:val="single"/>
          <w:lang w:val="en-US" w:eastAsia="zh-CN"/>
        </w:rPr>
        <w:t>2</w:t>
      </w:r>
      <w:r>
        <w:rPr>
          <w:b/>
          <w:i/>
          <w:iCs/>
          <w:sz w:val="21"/>
          <w:szCs w:val="21"/>
          <w:u w:val="single"/>
          <w:lang w:val="en-US" w:eastAsia="zh-CN"/>
        </w:rPr>
        <w:t>: How to specify HPUE including PC2 for RedCap</w:t>
      </w:r>
    </w:p>
    <w:p>
      <w:pPr>
        <w:snapToGrid w:val="0"/>
        <w:spacing w:after="120"/>
        <w:rPr>
          <w:rFonts w:eastAsiaTheme="minorEastAsia"/>
          <w:i/>
          <w:iCs/>
          <w:sz w:val="21"/>
          <w:szCs w:val="21"/>
          <w:lang w:val="en-US" w:eastAsia="zh-CN"/>
        </w:rPr>
      </w:pPr>
      <w:r>
        <w:rPr>
          <w:rFonts w:hint="eastAsia" w:eastAsiaTheme="minorEastAsia"/>
          <w:i/>
          <w:iCs/>
          <w:sz w:val="21"/>
          <w:szCs w:val="21"/>
          <w:lang w:val="en-US" w:eastAsia="zh-CN"/>
        </w:rPr>
        <w:t xml:space="preserve">Way </w:t>
      </w:r>
      <w:r>
        <w:rPr>
          <w:rFonts w:eastAsiaTheme="minorEastAsia"/>
          <w:i/>
          <w:iCs/>
          <w:sz w:val="21"/>
          <w:szCs w:val="21"/>
          <w:lang w:val="en-US" w:eastAsia="zh-CN"/>
        </w:rPr>
        <w:t>forward</w:t>
      </w:r>
      <w:r>
        <w:rPr>
          <w:rFonts w:hint="eastAsia" w:eastAsiaTheme="minorEastAsia"/>
          <w:i/>
          <w:iCs/>
          <w:sz w:val="21"/>
          <w:szCs w:val="21"/>
          <w:lang w:val="en-US" w:eastAsia="zh-CN"/>
        </w:rPr>
        <w:t>:</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eastAsia="宋体"/>
          <w:i/>
          <w:iCs/>
          <w:sz w:val="21"/>
          <w:szCs w:val="21"/>
          <w:lang w:eastAsia="zh-CN"/>
        </w:rPr>
        <w:t>PC2 RedCap HPUE requirements</w:t>
      </w:r>
      <w:r>
        <w:rPr>
          <w:rFonts w:hint="eastAsia" w:eastAsia="宋体"/>
          <w:i/>
          <w:iCs/>
          <w:sz w:val="21"/>
          <w:szCs w:val="21"/>
          <w:lang w:eastAsia="zh-CN"/>
        </w:rPr>
        <w:t xml:space="preserve"> can be specified</w:t>
      </w:r>
      <w:r>
        <w:rPr>
          <w:rFonts w:eastAsia="宋体"/>
          <w:i/>
          <w:iCs/>
          <w:sz w:val="21"/>
          <w:szCs w:val="21"/>
          <w:lang w:eastAsia="zh-CN"/>
        </w:rPr>
        <w:t xml:space="preserve"> in the band agnostic way</w:t>
      </w:r>
      <w:r>
        <w:rPr>
          <w:rFonts w:hint="eastAsia" w:eastAsia="宋体"/>
          <w:i/>
          <w:iCs/>
          <w:sz w:val="21"/>
          <w:szCs w:val="21"/>
          <w:lang w:eastAsia="zh-CN"/>
        </w:rPr>
        <w:t xml:space="preserve"> at least f</w:t>
      </w:r>
      <w:r>
        <w:rPr>
          <w:rFonts w:eastAsia="宋体"/>
          <w:i/>
          <w:iCs/>
          <w:sz w:val="21"/>
          <w:szCs w:val="21"/>
          <w:lang w:eastAsia="zh-CN"/>
        </w:rPr>
        <w:t>or TDD and HD-FD</w:t>
      </w:r>
      <w:r>
        <w:rPr>
          <w:rFonts w:hint="eastAsia" w:eastAsia="宋体"/>
          <w:i/>
          <w:iCs/>
          <w:sz w:val="21"/>
          <w:szCs w:val="21"/>
          <w:lang w:eastAsia="zh-CN"/>
        </w:rPr>
        <w:t>D.</w:t>
      </w:r>
    </w:p>
    <w:p>
      <w:pPr>
        <w:pStyle w:val="184"/>
        <w:numPr>
          <w:ilvl w:val="1"/>
          <w:numId w:val="20"/>
        </w:numPr>
        <w:overflowPunct/>
        <w:autoSpaceDE/>
        <w:adjustRightInd/>
        <w:snapToGrid w:val="0"/>
        <w:spacing w:after="120"/>
        <w:ind w:left="851" w:hanging="284" w:firstLineChars="0"/>
        <w:textAlignment w:val="auto"/>
        <w:rPr>
          <w:rFonts w:eastAsia="宋体"/>
          <w:i/>
          <w:iCs/>
          <w:sz w:val="21"/>
          <w:szCs w:val="21"/>
          <w:lang w:eastAsia="zh-CN"/>
        </w:rPr>
      </w:pPr>
      <w:r>
        <w:rPr>
          <w:rFonts w:hint="eastAsia" w:eastAsia="宋体"/>
          <w:i/>
          <w:iCs/>
          <w:sz w:val="21"/>
          <w:szCs w:val="21"/>
          <w:lang w:eastAsia="zh-CN"/>
        </w:rPr>
        <w:t xml:space="preserve">The </w:t>
      </w:r>
      <w:r>
        <w:rPr>
          <w:rFonts w:eastAsia="宋体"/>
          <w:i/>
          <w:iCs/>
          <w:sz w:val="21"/>
          <w:szCs w:val="21"/>
          <w:lang w:eastAsia="zh-CN"/>
        </w:rPr>
        <w:t>band agnostic way</w:t>
      </w:r>
      <w:r>
        <w:rPr>
          <w:rFonts w:hint="eastAsia" w:eastAsia="宋体"/>
          <w:i/>
          <w:iCs/>
          <w:sz w:val="21"/>
          <w:szCs w:val="21"/>
          <w:lang w:eastAsia="zh-CN"/>
        </w:rPr>
        <w:t xml:space="preserve"> means the PC2 requirements for non-RedCap UE can be re-used for PC2 RedCap UE</w:t>
      </w:r>
      <w:r>
        <w:rPr>
          <w:rFonts w:eastAsia="宋体"/>
          <w:i/>
          <w:iCs/>
          <w:sz w:val="21"/>
          <w:szCs w:val="21"/>
          <w:lang w:eastAsia="zh-CN"/>
        </w:rPr>
        <w:t xml:space="preserve"> in </w:t>
      </w:r>
      <w:r>
        <w:rPr>
          <w:rFonts w:hint="eastAsia" w:eastAsia="宋体"/>
          <w:i/>
          <w:iCs/>
          <w:sz w:val="21"/>
          <w:szCs w:val="21"/>
          <w:lang w:eastAsia="zh-CN"/>
        </w:rPr>
        <w:t>a</w:t>
      </w:r>
      <w:r>
        <w:rPr>
          <w:rFonts w:eastAsia="宋体"/>
          <w:i/>
          <w:iCs/>
          <w:sz w:val="21"/>
          <w:szCs w:val="21"/>
          <w:lang w:eastAsia="zh-CN"/>
        </w:rPr>
        <w:t xml:space="preserve"> band agnostic way</w:t>
      </w:r>
      <w:r>
        <w:rPr>
          <w:rFonts w:hint="eastAsia" w:eastAsia="宋体"/>
          <w:i/>
          <w:iCs/>
          <w:sz w:val="21"/>
          <w:szCs w:val="21"/>
          <w:lang w:eastAsia="zh-CN"/>
        </w:rPr>
        <w:t xml:space="preserve">. </w:t>
      </w:r>
      <w:r>
        <w:rPr>
          <w:rFonts w:hint="eastAsia" w:eastAsiaTheme="minorEastAsia"/>
          <w:i/>
          <w:iCs/>
          <w:sz w:val="21"/>
          <w:lang w:eastAsia="zh-CN"/>
        </w:rPr>
        <w:t>Only</w:t>
      </w:r>
      <w:r>
        <w:rPr>
          <w:rFonts w:hint="eastAsia"/>
          <w:i/>
          <w:iCs/>
          <w:sz w:val="21"/>
          <w:lang w:eastAsia="zh-CN"/>
        </w:rPr>
        <w:t xml:space="preserve"> the operating bands for which PC2 on non-RedCap UE has been introduced can be considered for RedCap UE.</w:t>
      </w:r>
      <w:r>
        <w:rPr>
          <w:i/>
          <w:iCs/>
          <w:sz w:val="21"/>
          <w:lang w:eastAsia="zh-CN"/>
        </w:rPr>
        <w:t xml:space="preserve"> </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hint="eastAsia" w:eastAsia="宋体"/>
          <w:i/>
          <w:iCs/>
          <w:sz w:val="21"/>
          <w:szCs w:val="21"/>
          <w:lang w:eastAsia="zh-CN"/>
        </w:rPr>
        <w:t xml:space="preserve">Further discuss whether the band </w:t>
      </w:r>
      <w:r>
        <w:rPr>
          <w:rFonts w:eastAsia="宋体"/>
          <w:i/>
          <w:iCs/>
          <w:sz w:val="21"/>
          <w:szCs w:val="21"/>
          <w:lang w:eastAsia="zh-CN"/>
        </w:rPr>
        <w:t>agnostic way</w:t>
      </w:r>
      <w:r>
        <w:rPr>
          <w:rFonts w:hint="eastAsia" w:eastAsia="宋体"/>
          <w:i/>
          <w:iCs/>
          <w:sz w:val="21"/>
          <w:szCs w:val="21"/>
          <w:lang w:eastAsia="zh-CN"/>
        </w:rPr>
        <w:t xml:space="preserve"> can be applied for</w:t>
      </w:r>
      <w:r>
        <w:rPr>
          <w:rFonts w:eastAsia="宋体"/>
          <w:i/>
          <w:iCs/>
          <w:sz w:val="21"/>
          <w:szCs w:val="21"/>
          <w:lang w:eastAsia="zh-CN"/>
        </w:rPr>
        <w:t xml:space="preserve"> PC2 FD-FDD bands with 1Rx and 2Rx</w:t>
      </w:r>
      <w:r>
        <w:rPr>
          <w:rFonts w:hint="eastAsia" w:eastAsia="宋体"/>
          <w:i/>
          <w:iCs/>
          <w:sz w:val="21"/>
          <w:szCs w:val="21"/>
          <w:lang w:eastAsia="zh-CN"/>
        </w:rPr>
        <w:t xml:space="preserve">, based on </w:t>
      </w:r>
      <w:r>
        <w:rPr>
          <w:rFonts w:eastAsia="宋体"/>
          <w:i/>
          <w:iCs/>
          <w:sz w:val="21"/>
          <w:szCs w:val="21"/>
          <w:lang w:eastAsia="zh-CN"/>
        </w:rPr>
        <w:t xml:space="preserve">more analysis </w:t>
      </w:r>
      <w:r>
        <w:rPr>
          <w:rFonts w:hint="eastAsia" w:eastAsia="宋体"/>
          <w:i/>
          <w:iCs/>
          <w:sz w:val="21"/>
          <w:szCs w:val="21"/>
          <w:lang w:eastAsia="zh-CN"/>
        </w:rPr>
        <w:t>on the</w:t>
      </w:r>
      <w:r>
        <w:rPr>
          <w:rFonts w:eastAsia="宋体"/>
          <w:i/>
          <w:iCs/>
          <w:sz w:val="21"/>
          <w:szCs w:val="21"/>
          <w:lang w:eastAsia="zh-CN"/>
        </w:rPr>
        <w:t xml:space="preserve"> RF requirements</w:t>
      </w:r>
      <w:r>
        <w:rPr>
          <w:rFonts w:hint="eastAsia" w:eastAsia="宋体"/>
          <w:i/>
          <w:iCs/>
          <w:sz w:val="21"/>
          <w:szCs w:val="21"/>
          <w:lang w:eastAsia="zh-CN"/>
        </w:rPr>
        <w:t xml:space="preserve"> including </w:t>
      </w:r>
      <w:r>
        <w:rPr>
          <w:rFonts w:eastAsia="宋体"/>
          <w:i/>
          <w:iCs/>
          <w:sz w:val="21"/>
          <w:szCs w:val="21"/>
          <w:lang w:eastAsia="zh-CN"/>
        </w:rPr>
        <w:t>A-MPR and RSD</w:t>
      </w:r>
      <w:r>
        <w:rPr>
          <w:rFonts w:hint="eastAsia" w:eastAsia="宋体"/>
          <w:i/>
          <w:iCs/>
          <w:sz w:val="21"/>
          <w:szCs w:val="21"/>
          <w:lang w:eastAsia="zh-CN"/>
        </w:rPr>
        <w:t>.</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hint="eastAsia" w:eastAsiaTheme="minorEastAsia"/>
          <w:bCs/>
          <w:i/>
          <w:iCs/>
          <w:sz w:val="21"/>
          <w:lang w:eastAsia="zh-CN"/>
        </w:rPr>
        <w:t xml:space="preserve">Note 1: </w:t>
      </w:r>
      <w:r>
        <w:rPr>
          <w:bCs/>
          <w:i/>
          <w:iCs/>
          <w:sz w:val="21"/>
          <w:lang w:eastAsia="zh-CN"/>
        </w:rPr>
        <w:t>1Tx architecture</w:t>
      </w:r>
      <w:r>
        <w:rPr>
          <w:rFonts w:hint="eastAsia"/>
          <w:bCs/>
          <w:i/>
          <w:iCs/>
          <w:sz w:val="21"/>
          <w:lang w:eastAsia="zh-CN"/>
        </w:rPr>
        <w:t xml:space="preserve"> </w:t>
      </w:r>
      <w:r>
        <w:rPr>
          <w:rFonts w:hint="eastAsia" w:eastAsiaTheme="minorEastAsia"/>
          <w:bCs/>
          <w:i/>
          <w:iCs/>
          <w:sz w:val="21"/>
          <w:lang w:eastAsia="zh-CN"/>
        </w:rPr>
        <w:t xml:space="preserve">is </w:t>
      </w:r>
      <w:r>
        <w:rPr>
          <w:rFonts w:eastAsiaTheme="minorEastAsia"/>
          <w:bCs/>
          <w:i/>
          <w:iCs/>
          <w:sz w:val="21"/>
          <w:lang w:eastAsia="zh-CN"/>
        </w:rPr>
        <w:t>assumed</w:t>
      </w:r>
      <w:r>
        <w:rPr>
          <w:rFonts w:hint="eastAsia" w:eastAsiaTheme="minorEastAsia"/>
          <w:bCs/>
          <w:i/>
          <w:iCs/>
          <w:sz w:val="21"/>
          <w:lang w:eastAsia="zh-CN"/>
        </w:rPr>
        <w:t xml:space="preserve"> for RedCap PC2.</w:t>
      </w:r>
    </w:p>
    <w:p>
      <w:pPr>
        <w:pStyle w:val="184"/>
        <w:numPr>
          <w:ilvl w:val="0"/>
          <w:numId w:val="20"/>
        </w:numPr>
        <w:overflowPunct/>
        <w:autoSpaceDE/>
        <w:adjustRightInd/>
        <w:snapToGrid w:val="0"/>
        <w:spacing w:after="120"/>
        <w:ind w:left="426" w:hanging="284" w:firstLineChars="0"/>
        <w:textAlignment w:val="auto"/>
        <w:rPr>
          <w:rFonts w:eastAsia="宋体"/>
          <w:i/>
          <w:iCs/>
          <w:sz w:val="21"/>
          <w:szCs w:val="21"/>
          <w:lang w:eastAsia="zh-CN"/>
        </w:rPr>
      </w:pPr>
      <w:r>
        <w:rPr>
          <w:rFonts w:hint="eastAsia" w:eastAsiaTheme="minorEastAsia"/>
          <w:bCs/>
          <w:i/>
          <w:iCs/>
          <w:sz w:val="21"/>
          <w:lang w:eastAsia="zh-CN"/>
        </w:rPr>
        <w:t xml:space="preserve">Note 2: PC2 for Rel-17 Redcap is considered under this RAN task. </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In this contribution,  we share our considerations on PC2 for RedCap UE.</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Discussion</w:t>
      </w:r>
    </w:p>
    <w:p>
      <w:pPr>
        <w:rPr>
          <w:rFonts w:hint="eastAsia" w:eastAsia="Times New Roman"/>
          <w:bCs/>
          <w:lang w:val="en-US" w:eastAsia="zh-CN"/>
        </w:rPr>
      </w:pPr>
      <w:r>
        <w:rPr>
          <w:rFonts w:hint="eastAsia" w:eastAsia="Times New Roman"/>
          <w:bCs/>
          <w:lang w:val="en-US" w:eastAsia="zh-CN"/>
        </w:rPr>
        <w:t>As PC2 (high power transmission) is an optional feature, and the capability would only be reported to the network if it is supported. So there is no need to restrict on the form factor for enabling of PC2 feature.</w:t>
      </w:r>
    </w:p>
    <w:p>
      <w:pPr>
        <w:rPr>
          <w:rFonts w:hint="eastAsia" w:eastAsia="Times New Roman"/>
          <w:b/>
          <w:bCs w:val="0"/>
          <w:lang w:val="en-US" w:eastAsia="zh-CN"/>
        </w:rPr>
      </w:pPr>
      <w:r>
        <w:rPr>
          <w:rFonts w:hint="eastAsia" w:eastAsia="Times New Roman"/>
          <w:b/>
          <w:bCs w:val="0"/>
          <w:lang w:val="en-US" w:eastAsia="zh-CN"/>
        </w:rPr>
        <w:t>Proposal 1:  Not restrict the applicable form factor for PC2 RedCap HPUE in the specification.</w:t>
      </w:r>
    </w:p>
    <w:p>
      <w:pPr>
        <w:rPr>
          <w:rFonts w:hint="eastAsia"/>
          <w:lang w:val="en-US" w:eastAsia="zh-CN"/>
        </w:rPr>
      </w:pPr>
    </w:p>
    <w:p>
      <w:pPr>
        <w:rPr>
          <w:rFonts w:hint="default" w:eastAsia="Times New Roman"/>
          <w:bCs/>
          <w:lang w:val="en-US" w:eastAsia="zh-CN"/>
        </w:rPr>
      </w:pPr>
      <w:r>
        <w:rPr>
          <w:rFonts w:hint="eastAsia"/>
          <w:lang w:val="en-US" w:eastAsia="zh-CN"/>
        </w:rPr>
        <w:t>Redcap UEs share the same RF requirements with handheld UEs of the same Tx/Rx numbers</w:t>
      </w:r>
      <w:r>
        <w:rPr>
          <w:rFonts w:hint="eastAsia" w:eastAsia="Times New Roman"/>
          <w:bCs/>
          <w:lang w:val="en-US" w:eastAsia="zh-CN"/>
        </w:rPr>
        <w:t xml:space="preserve"> for PC3 for channel bandwidth of up to 20MHz. In our view, the same applies for PC2 cases, which implies that the requirements of FDD PC2 HPUE for handheld UE are applicable for PC2 RedCap HPUE (2Rx) in band agnostic way. For 1Rx RedCap PC2 UE, some Rx requirements degradation would be expected due to smaller number of Rx chains.</w:t>
      </w:r>
    </w:p>
    <w:p>
      <w:pPr>
        <w:rPr>
          <w:rFonts w:hint="default" w:eastAsia="Times New Roman"/>
          <w:b/>
          <w:bCs w:val="0"/>
          <w:lang w:val="en-US" w:eastAsia="zh-CN"/>
        </w:rPr>
      </w:pPr>
      <w:r>
        <w:rPr>
          <w:rFonts w:hint="eastAsia" w:eastAsia="Times New Roman"/>
          <w:b/>
          <w:bCs w:val="0"/>
          <w:lang w:val="en-US" w:eastAsia="zh-CN"/>
        </w:rPr>
        <w:t>Proposal 2: The requirements of FDD PC2 HPUE for handheld UE are applicable for PC2 RedCap HPUE (2Rx) in band agnostic way.</w:t>
      </w:r>
    </w:p>
    <w:p>
      <w:pPr>
        <w:rPr>
          <w:rFonts w:hint="default" w:eastAsia="Times New Roman"/>
          <w:b/>
          <w:bCs w:val="0"/>
          <w:lang w:val="en-US" w:eastAsia="zh-CN"/>
        </w:rPr>
      </w:pPr>
      <w:r>
        <w:rPr>
          <w:rFonts w:hint="eastAsia" w:eastAsia="Times New Roman"/>
          <w:b/>
          <w:bCs w:val="0"/>
          <w:lang w:val="en-US" w:eastAsia="zh-CN"/>
        </w:rPr>
        <w:t>Observation 1: For 1Rx RedCap PC2 UE, some Rx requirements degradation would be expected due to smaller number of Rx chains.</w:t>
      </w:r>
    </w:p>
    <w:p>
      <w:pPr>
        <w:rPr>
          <w:rFonts w:hint="eastAsia" w:eastAsia="Times New Roman"/>
          <w:bCs/>
          <w:lang w:val="en-US" w:eastAsia="en-GB"/>
        </w:rPr>
      </w:pPr>
      <w:r>
        <w:rPr>
          <w:rFonts w:hint="eastAsia" w:eastAsia="Times New Roman"/>
          <w:bCs/>
          <w:lang w:val="en-US" w:eastAsia="en-GB"/>
        </w:rPr>
        <w:tab/>
      </w:r>
      <w:r>
        <w:rPr>
          <w:rFonts w:hint="eastAsia" w:eastAsia="Times New Roman"/>
          <w:bCs/>
          <w:lang w:val="en-US" w:eastAsia="en-GB"/>
        </w:rPr>
        <w:tab/>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val="en-US" w:eastAsia="zh-CN"/>
        </w:rPr>
        <w:t>3</w:t>
      </w:r>
      <w:r>
        <w:rPr>
          <w:rFonts w:hint="eastAsia"/>
          <w:lang w:eastAsia="ja-JP"/>
        </w:rPr>
        <w:t xml:space="preserve">. </w:t>
      </w:r>
      <w:r>
        <w:rPr>
          <w:rFonts w:hint="eastAsia" w:eastAsia="宋体"/>
          <w:lang w:val="en-US" w:eastAsia="zh-CN"/>
        </w:rPr>
        <w:t>Conclusion</w:t>
      </w:r>
    </w:p>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In this contribution, we shared our views on RedCap HPUE, and made the following proposals and observations:</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r>
        <w:rPr>
          <w:rFonts w:hint="eastAsia" w:eastAsia="Times New Roman"/>
          <w:b/>
          <w:bCs w:val="0"/>
          <w:lang w:val="en-US" w:eastAsia="zh-CN"/>
        </w:rPr>
        <w:t>Proposal 1:  Not restrict the applicable form factor for PC2 RedCap HPUE in the specification.</w:t>
      </w:r>
    </w:p>
    <w:p>
      <w:pPr>
        <w:rPr>
          <w:rFonts w:hint="default" w:eastAsia="Times New Roman"/>
          <w:b/>
          <w:bCs w:val="0"/>
          <w:lang w:val="en-US" w:eastAsia="zh-CN"/>
        </w:rPr>
      </w:pPr>
      <w:r>
        <w:rPr>
          <w:rFonts w:hint="eastAsia" w:eastAsia="Times New Roman"/>
          <w:b/>
          <w:bCs w:val="0"/>
          <w:lang w:val="en-US" w:eastAsia="zh-CN"/>
        </w:rPr>
        <w:t>Proposal 2: The requirements of FDD PC2 HPUE for handheld UE are applicable for PC2 RedCap HPUE (2Rx) in band agnostic way.</w:t>
      </w:r>
    </w:p>
    <w:p>
      <w:pPr>
        <w:rPr>
          <w:rFonts w:hint="default" w:eastAsia="Times New Roman"/>
          <w:b/>
          <w:bCs w:val="0"/>
          <w:lang w:val="en-US" w:eastAsia="zh-CN"/>
        </w:rPr>
      </w:pPr>
      <w:r>
        <w:rPr>
          <w:rFonts w:hint="eastAsia" w:eastAsia="Times New Roman"/>
          <w:b/>
          <w:bCs w:val="0"/>
          <w:lang w:val="en-US" w:eastAsia="zh-CN"/>
        </w:rPr>
        <w:t>Observation 1: For 1Rx RedCap PC2 UE, some Rx requirements degradation would be expected due to smaller number of Rx chains.</w:t>
      </w:r>
    </w:p>
    <w:p>
      <w:pPr>
        <w:keepNext/>
        <w:keepLines/>
        <w:pageBreakBefore w:val="0"/>
        <w:widowControl/>
        <w:kinsoku/>
        <w:wordWrap/>
        <w:overflowPunct/>
        <w:topLinePunct w:val="0"/>
        <w:autoSpaceDE/>
        <w:autoSpaceDN/>
        <w:bidi w:val="0"/>
        <w:adjustRightInd/>
        <w:snapToGrid/>
        <w:ind w:left="1200" w:hanging="1200" w:hangingChars="60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6" w:name="OLE_LINK4"/>
      <w:r>
        <w:rPr>
          <w:rFonts w:hint="eastAsia" w:eastAsia="宋体"/>
          <w:lang w:val="en-US" w:eastAsia="zh-CN"/>
        </w:rPr>
        <w:t>3</w:t>
      </w:r>
      <w:r>
        <w:rPr>
          <w:rFonts w:hint="eastAsia"/>
          <w:lang w:eastAsia="ja-JP"/>
        </w:rPr>
        <w:t xml:space="preserve">. </w:t>
      </w:r>
      <w:bookmarkStart w:id="7" w:name="_Toc492044144"/>
      <w:bookmarkStart w:id="8" w:name="_Toc460338137"/>
      <w:bookmarkStart w:id="9" w:name="_Toc492043890"/>
      <w:bookmarkStart w:id="10" w:name="_Toc494295307"/>
      <w:bookmarkStart w:id="11" w:name="_Toc443593759"/>
      <w:r>
        <w:rPr>
          <w:rFonts w:hint="eastAsia" w:eastAsia="宋体"/>
          <w:lang w:val="en-US" w:eastAsia="zh-CN"/>
        </w:rPr>
        <w:t>Reference</w:t>
      </w:r>
    </w:p>
    <w:bookmarkEnd w:id="0"/>
    <w:bookmarkEnd w:id="1"/>
    <w:bookmarkEnd w:id="2"/>
    <w:bookmarkEnd w:id="3"/>
    <w:bookmarkEnd w:id="4"/>
    <w:bookmarkEnd w:id="6"/>
    <w:bookmarkEnd w:id="7"/>
    <w:bookmarkEnd w:id="8"/>
    <w:bookmarkEnd w:id="9"/>
    <w:bookmarkEnd w:id="10"/>
    <w:bookmarkEnd w:id="11"/>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[1] R4-2306650</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WF on RedCap HPUE</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 xml:space="preserve">China </w:t>
      </w:r>
      <w:r>
        <w:rPr>
          <w:rFonts w:hint="eastAsia" w:eastAsia="宋体" w:cs="Times New Roman"/>
          <w:i w:val="0"/>
          <w:iCs w:val="0"/>
          <w:color w:val="000000"/>
          <w:kern w:val="0"/>
          <w:sz w:val="20"/>
          <w:szCs w:val="20"/>
          <w:u w:val="none"/>
          <w:lang w:val="en-US" w:eastAsia="zh-CN" w:bidi="ar"/>
        </w:rPr>
        <w:t>Tele</w:t>
      </w:r>
      <w:r>
        <w:rPr>
          <w:rFonts w:hint="eastAsia" w:eastAsia="宋体" w:cs="Times New Roman"/>
          <w:i w:val="0"/>
          <w:iCs w:val="0"/>
          <w:color w:val="000000"/>
          <w:kern w:val="0"/>
          <w:sz w:val="20"/>
          <w:szCs w:val="20"/>
          <w:u w:val="none"/>
          <w:lang w:val="en-US" w:eastAsia="en-GB" w:bidi="ar"/>
        </w:rPr>
        <w:t>com</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8"/>
  </w:num>
  <w:num w:numId="5">
    <w:abstractNumId w:val="14"/>
  </w:num>
  <w:num w:numId="6">
    <w:abstractNumId w:val="11"/>
  </w:num>
  <w:num w:numId="7">
    <w:abstractNumId w:val="13"/>
  </w:num>
  <w:num w:numId="8">
    <w:abstractNumId w:val="5"/>
  </w:num>
  <w:num w:numId="9">
    <w:abstractNumId w:val="10"/>
  </w:num>
  <w:num w:numId="10">
    <w:abstractNumId w:val="19"/>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8"/>
  </w:num>
  <w:num w:numId="16">
    <w:abstractNumId w:val="6"/>
  </w:num>
  <w:num w:numId="17">
    <w:abstractNumId w:val="15"/>
  </w:num>
  <w:num w:numId="18">
    <w:abstractNumId w:val="17"/>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2A544AC"/>
    <w:rsid w:val="036D3295"/>
    <w:rsid w:val="04007D23"/>
    <w:rsid w:val="040B26AC"/>
    <w:rsid w:val="065D08C7"/>
    <w:rsid w:val="07292330"/>
    <w:rsid w:val="080D364F"/>
    <w:rsid w:val="0C185FB3"/>
    <w:rsid w:val="0C4F65D3"/>
    <w:rsid w:val="0DC06F7D"/>
    <w:rsid w:val="0DF11FE9"/>
    <w:rsid w:val="0ECD0BBE"/>
    <w:rsid w:val="10015F84"/>
    <w:rsid w:val="102E74CD"/>
    <w:rsid w:val="10FB5DE4"/>
    <w:rsid w:val="11D27C34"/>
    <w:rsid w:val="12486260"/>
    <w:rsid w:val="139C1C48"/>
    <w:rsid w:val="14002B2D"/>
    <w:rsid w:val="140724AA"/>
    <w:rsid w:val="14712411"/>
    <w:rsid w:val="14C12440"/>
    <w:rsid w:val="15875CAB"/>
    <w:rsid w:val="15A92EF0"/>
    <w:rsid w:val="15C34910"/>
    <w:rsid w:val="18CC1B05"/>
    <w:rsid w:val="1B1F7359"/>
    <w:rsid w:val="1C4934AD"/>
    <w:rsid w:val="1D01767B"/>
    <w:rsid w:val="1E391716"/>
    <w:rsid w:val="1F18033A"/>
    <w:rsid w:val="1F6F0D0D"/>
    <w:rsid w:val="230B4AFC"/>
    <w:rsid w:val="232C678A"/>
    <w:rsid w:val="245B7A20"/>
    <w:rsid w:val="24A81827"/>
    <w:rsid w:val="253E2219"/>
    <w:rsid w:val="25E07777"/>
    <w:rsid w:val="269F0579"/>
    <w:rsid w:val="26B06ED8"/>
    <w:rsid w:val="27B46B20"/>
    <w:rsid w:val="288156D2"/>
    <w:rsid w:val="28C57BF0"/>
    <w:rsid w:val="295A58B5"/>
    <w:rsid w:val="29EE1048"/>
    <w:rsid w:val="2AA158CE"/>
    <w:rsid w:val="2AA207FC"/>
    <w:rsid w:val="2B9A5D2A"/>
    <w:rsid w:val="2B9D27C4"/>
    <w:rsid w:val="2BCE3A4E"/>
    <w:rsid w:val="2BE13809"/>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6B763F"/>
    <w:rsid w:val="417C64F1"/>
    <w:rsid w:val="42D939AC"/>
    <w:rsid w:val="44112884"/>
    <w:rsid w:val="445C2631"/>
    <w:rsid w:val="44A024A3"/>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E10D17FE-3FCD-4FF3-93B9-BB567C9A307A}">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China Unicom</cp:lastModifiedBy>
  <cp:lastPrinted>2013-07-05T12:11:00Z</cp:lastPrinted>
  <dcterms:modified xsi:type="dcterms:W3CDTF">2023-05-15T12:08:25Z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11741ABA93F5433E92B943893DF7C7AE</vt:lpwstr>
  </property>
</Properties>
</file>